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13C90" w:rsidRPr="00DC372B" w:rsidTr="009D0859">
        <w:tc>
          <w:tcPr>
            <w:tcW w:w="4247" w:type="dxa"/>
          </w:tcPr>
          <w:p w:rsidR="00313C90" w:rsidRPr="00DC372B" w:rsidRDefault="00313C90" w:rsidP="009D0859">
            <w:pPr>
              <w:rPr>
                <w:rFonts w:ascii="Verdana" w:hAnsi="Verdana"/>
              </w:rPr>
            </w:pPr>
          </w:p>
          <w:p w:rsidR="00313C90" w:rsidRDefault="00313C90" w:rsidP="009D0859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PLAN DE CHOQUE ADMINISTRACIÓN DE JUSTICIA</w:t>
            </w:r>
          </w:p>
          <w:p w:rsidR="00313C90" w:rsidRPr="00DC372B" w:rsidRDefault="00313C90" w:rsidP="009D0859">
            <w:pPr>
              <w:rPr>
                <w:rFonts w:ascii="Verdana" w:hAnsi="Verdana"/>
              </w:rPr>
            </w:pPr>
          </w:p>
        </w:tc>
        <w:tc>
          <w:tcPr>
            <w:tcW w:w="4247" w:type="dxa"/>
          </w:tcPr>
          <w:p w:rsidR="00313C90" w:rsidRPr="00DC372B" w:rsidRDefault="00313C90" w:rsidP="009D0859">
            <w:pPr>
              <w:rPr>
                <w:rFonts w:ascii="Verdana" w:hAnsi="Verdana"/>
              </w:rPr>
            </w:pPr>
          </w:p>
          <w:p w:rsidR="00313C90" w:rsidRPr="0005114B" w:rsidRDefault="00313C90" w:rsidP="009D0859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MEDIDA Nº: </w:t>
            </w:r>
            <w:r w:rsidR="009F6C31">
              <w:rPr>
                <w:rFonts w:ascii="Verdana" w:hAnsi="Verdana"/>
                <w:b/>
              </w:rPr>
              <w:t>9</w:t>
            </w:r>
            <w:bookmarkStart w:id="0" w:name="_GoBack"/>
            <w:bookmarkEnd w:id="0"/>
            <w:r w:rsidR="0005114B">
              <w:rPr>
                <w:rFonts w:ascii="Verdana" w:hAnsi="Verdana"/>
                <w:b/>
              </w:rPr>
              <w:t xml:space="preserve"> (RDL)</w:t>
            </w:r>
          </w:p>
          <w:p w:rsidR="00313C90" w:rsidRPr="00DC372B" w:rsidRDefault="00313C90" w:rsidP="009D0859">
            <w:pPr>
              <w:rPr>
                <w:rFonts w:ascii="Verdana" w:hAnsi="Verdana"/>
              </w:rPr>
            </w:pPr>
          </w:p>
        </w:tc>
      </w:tr>
      <w:tr w:rsidR="00313C90" w:rsidRPr="00DC372B" w:rsidTr="009D0859">
        <w:tc>
          <w:tcPr>
            <w:tcW w:w="8494" w:type="dxa"/>
            <w:gridSpan w:val="2"/>
          </w:tcPr>
          <w:p w:rsidR="00313C90" w:rsidRDefault="00313C90" w:rsidP="009D0859">
            <w:pPr>
              <w:jc w:val="both"/>
              <w:rPr>
                <w:rFonts w:ascii="Verdana" w:hAnsi="Verdana"/>
              </w:rPr>
            </w:pPr>
          </w:p>
          <w:p w:rsidR="00313C90" w:rsidRDefault="00313C90" w:rsidP="009D085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IDENTIFICACIÓN DE LA MEDIDA: </w:t>
            </w:r>
          </w:p>
          <w:p w:rsidR="00313C90" w:rsidRDefault="00313C90" w:rsidP="009D0859">
            <w:pPr>
              <w:jc w:val="both"/>
              <w:rPr>
                <w:rFonts w:ascii="Verdana" w:hAnsi="Verdana"/>
              </w:rPr>
            </w:pPr>
          </w:p>
          <w:p w:rsidR="00313C90" w:rsidRDefault="003A3FC7" w:rsidP="009D0859">
            <w:pPr>
              <w:jc w:val="both"/>
              <w:rPr>
                <w:rFonts w:ascii="Verdana" w:hAnsi="Verdana"/>
                <w:iCs/>
                <w:color w:val="000000" w:themeColor="text1"/>
              </w:rPr>
            </w:pPr>
            <w:r>
              <w:rPr>
                <w:rFonts w:ascii="Verdana" w:hAnsi="Verdana"/>
                <w:iCs/>
                <w:color w:val="000000" w:themeColor="text1"/>
              </w:rPr>
              <w:t>Añadir una nueva disposición adicional 56</w:t>
            </w:r>
            <w:r w:rsidR="005505F8">
              <w:rPr>
                <w:rFonts w:ascii="Verdana" w:hAnsi="Verdana"/>
                <w:iCs/>
                <w:color w:val="000000" w:themeColor="text1"/>
              </w:rPr>
              <w:t>ª</w:t>
            </w:r>
            <w:r>
              <w:rPr>
                <w:rFonts w:ascii="Verdana" w:hAnsi="Verdana"/>
                <w:iCs/>
                <w:color w:val="000000" w:themeColor="text1"/>
              </w:rPr>
              <w:t xml:space="preserve"> a la </w:t>
            </w:r>
            <w:r w:rsidR="00313C90">
              <w:rPr>
                <w:rFonts w:ascii="Verdana" w:hAnsi="Verdana"/>
                <w:iCs/>
                <w:color w:val="000000" w:themeColor="text1"/>
              </w:rPr>
              <w:t xml:space="preserve">Ley 9/2017, de 8 de noviembre, de Contratos del Sector Público, para ampliar el recurso especial en materia de contratación pública para que </w:t>
            </w:r>
            <w:r w:rsidR="00313C90" w:rsidRPr="005121E7">
              <w:rPr>
                <w:rFonts w:ascii="Verdana" w:hAnsi="Verdana"/>
                <w:iCs/>
                <w:color w:val="000000" w:themeColor="text1"/>
              </w:rPr>
              <w:t xml:space="preserve"> </w:t>
            </w:r>
            <w:r w:rsidR="00313C90">
              <w:rPr>
                <w:rFonts w:ascii="Verdana" w:hAnsi="Verdana"/>
                <w:iCs/>
                <w:color w:val="000000" w:themeColor="text1"/>
              </w:rPr>
              <w:t xml:space="preserve">resuelvan </w:t>
            </w:r>
            <w:r w:rsidR="00313C90" w:rsidRPr="005121E7">
              <w:rPr>
                <w:rFonts w:ascii="Verdana" w:hAnsi="Verdana"/>
                <w:iCs/>
                <w:color w:val="000000" w:themeColor="text1"/>
              </w:rPr>
              <w:t xml:space="preserve">las cuestiones derivadas de la crisis COVID-19 en materia reclamaciones </w:t>
            </w:r>
            <w:r w:rsidR="00313C90">
              <w:rPr>
                <w:rFonts w:ascii="Verdana" w:hAnsi="Verdana"/>
                <w:iCs/>
                <w:color w:val="000000" w:themeColor="text1"/>
              </w:rPr>
              <w:t xml:space="preserve">por incidencias en la ejecución de los contratos públicos. </w:t>
            </w:r>
          </w:p>
          <w:p w:rsidR="00313C90" w:rsidRDefault="00313C90" w:rsidP="009D0859">
            <w:pPr>
              <w:jc w:val="both"/>
              <w:rPr>
                <w:rFonts w:ascii="Verdana" w:hAnsi="Verdana"/>
              </w:rPr>
            </w:pPr>
          </w:p>
          <w:p w:rsidR="004D0ACD" w:rsidRPr="00DC372B" w:rsidRDefault="004D0ACD" w:rsidP="009D0859">
            <w:pPr>
              <w:jc w:val="both"/>
              <w:rPr>
                <w:rFonts w:ascii="Verdana" w:hAnsi="Verdana"/>
              </w:rPr>
            </w:pPr>
          </w:p>
        </w:tc>
      </w:tr>
      <w:tr w:rsidR="00313C90" w:rsidTr="009D0859">
        <w:tc>
          <w:tcPr>
            <w:tcW w:w="8494" w:type="dxa"/>
            <w:gridSpan w:val="2"/>
          </w:tcPr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Pr="00C831BF" w:rsidRDefault="00313C90" w:rsidP="009D08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TIPO DE MEDIDA: </w:t>
            </w:r>
            <w:r>
              <w:rPr>
                <w:rFonts w:ascii="Verdana" w:hAnsi="Verdana"/>
                <w:iCs/>
              </w:rPr>
              <w:t>Regulación del</w:t>
            </w:r>
            <w:r w:rsidRPr="00C831BF">
              <w:rPr>
                <w:rFonts w:ascii="Verdana" w:hAnsi="Verdana"/>
                <w:iCs/>
              </w:rPr>
              <w:t xml:space="preserve"> </w:t>
            </w:r>
            <w:r>
              <w:rPr>
                <w:rFonts w:ascii="Verdana" w:hAnsi="Verdana"/>
                <w:iCs/>
              </w:rPr>
              <w:t>objeto de recurso especial en materia de contratación</w:t>
            </w:r>
            <w:r w:rsidRPr="00C831BF">
              <w:rPr>
                <w:rFonts w:ascii="Verdana" w:hAnsi="Verdana"/>
                <w:iCs/>
              </w:rPr>
              <w:t>.</w:t>
            </w:r>
          </w:p>
          <w:p w:rsidR="00313C90" w:rsidRDefault="00313C90" w:rsidP="009D0859">
            <w:pPr>
              <w:rPr>
                <w:rFonts w:ascii="Verdana" w:hAnsi="Verdana"/>
              </w:rPr>
            </w:pPr>
          </w:p>
        </w:tc>
      </w:tr>
      <w:tr w:rsidR="00313C90" w:rsidTr="009D0859">
        <w:tc>
          <w:tcPr>
            <w:tcW w:w="8494" w:type="dxa"/>
            <w:gridSpan w:val="2"/>
          </w:tcPr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Default="00313C90" w:rsidP="009D0859">
            <w:pPr>
              <w:rPr>
                <w:rFonts w:ascii="Verdana" w:hAnsi="Verdana"/>
              </w:rPr>
            </w:pPr>
            <w:r w:rsidRPr="002A373A">
              <w:rPr>
                <w:rFonts w:ascii="Verdana" w:hAnsi="Verdana"/>
              </w:rPr>
              <w:t xml:space="preserve">OBJETIVO DE LA </w:t>
            </w:r>
            <w:r>
              <w:rPr>
                <w:rFonts w:ascii="Verdana" w:hAnsi="Verdana"/>
              </w:rPr>
              <w:t xml:space="preserve">MEDIDA: </w:t>
            </w:r>
          </w:p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Default="00313C90" w:rsidP="009D085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 propone una modificación puntual de la Ley de Contratos del Sector Público para ampliar el objeto del recurso especial en cuestiones de ejecución del COVID-19, ámbito en el que, a partir de las previsiones de los Reales Decretos Leyes 8 y 11/2020, dictados con ocasión del estado de alarma declarado por el Real Decreto 463/2020, de 14 de marzo, cabe esperar que se produzca un número muy significativo de recursos en materia de ejecución de contratos.</w:t>
            </w:r>
          </w:p>
          <w:p w:rsidR="00313C90" w:rsidRDefault="00313C90" w:rsidP="009D0859">
            <w:pPr>
              <w:jc w:val="both"/>
              <w:rPr>
                <w:rFonts w:ascii="Verdana" w:hAnsi="Verdana"/>
              </w:rPr>
            </w:pPr>
          </w:p>
          <w:p w:rsidR="00313C90" w:rsidRDefault="00313C90" w:rsidP="009D085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 medida pretende aportar vías de solución previa al contencioso-administrativo que permitan, en la medida de lo posible, una solución extrajudicial de los con</w:t>
            </w:r>
            <w:r w:rsidR="002F68D9">
              <w:rPr>
                <w:rFonts w:ascii="Verdana" w:hAnsi="Verdana"/>
              </w:rPr>
              <w:t>flictos en esta materia.</w:t>
            </w:r>
          </w:p>
          <w:p w:rsidR="004D0ACD" w:rsidRDefault="004D0ACD" w:rsidP="009D0859">
            <w:pPr>
              <w:jc w:val="both"/>
              <w:rPr>
                <w:rFonts w:ascii="Verdana" w:hAnsi="Verdana"/>
              </w:rPr>
            </w:pPr>
          </w:p>
          <w:p w:rsidR="004D0ACD" w:rsidRDefault="004D0ACD" w:rsidP="009D085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Los Reales Decretos-Leyes 8 y 11/2020 han previsto unos plazos de resolución de las solicitudes de indemnización por las incidencias del COVID-19 muy breves, de cinco días, transcurridos los cuales sin resolución se entiende que la solicitud ha sido rechazada, de manera que en cuanto cese la vigencia del estado de alarma y se reanuden los plazos administrativos la posibilidad de acudir a la vía contencioso-administrativa será inmediata.  Se hace por ello extraordinariamente urgente y necesario aprobar la norma propuesta para que se encuentre en vigor en el mismo momento de cese del estado de alarma a fin de impedir el impacto en la jurisdicción que se quiere evitar con la medida.</w:t>
            </w:r>
          </w:p>
          <w:p w:rsidR="00313C90" w:rsidRDefault="00313C90" w:rsidP="004D0ACD">
            <w:pPr>
              <w:jc w:val="both"/>
              <w:rPr>
                <w:rFonts w:ascii="Verdana" w:hAnsi="Verdana"/>
              </w:rPr>
            </w:pPr>
          </w:p>
        </w:tc>
      </w:tr>
      <w:tr w:rsidR="00313C90" w:rsidTr="009D0859">
        <w:tc>
          <w:tcPr>
            <w:tcW w:w="8494" w:type="dxa"/>
            <w:gridSpan w:val="2"/>
          </w:tcPr>
          <w:p w:rsidR="00313C90" w:rsidRDefault="00313C90" w:rsidP="009D0859">
            <w:pPr>
              <w:rPr>
                <w:rFonts w:ascii="Verdana" w:hAnsi="Verdana"/>
              </w:rPr>
            </w:pPr>
          </w:p>
          <w:p w:rsidR="004D0ACD" w:rsidRDefault="004D0ACD" w:rsidP="009D0859">
            <w:pPr>
              <w:rPr>
                <w:rFonts w:ascii="Verdana" w:hAnsi="Verdana"/>
              </w:rPr>
            </w:pPr>
          </w:p>
          <w:p w:rsidR="00313C90" w:rsidRDefault="00313C90" w:rsidP="009D08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COLECTIVOS PROFESIONALES AFECTADOS: </w:t>
            </w:r>
          </w:p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Pr="00134AD4" w:rsidRDefault="00313C90" w:rsidP="009D0859">
            <w:pPr>
              <w:jc w:val="both"/>
              <w:rPr>
                <w:rFonts w:ascii="Verdana" w:hAnsi="Verdana"/>
                <w:i/>
                <w:iCs/>
                <w:color w:val="FF0000"/>
              </w:rPr>
            </w:pPr>
            <w:r>
              <w:rPr>
                <w:rFonts w:ascii="Verdana" w:hAnsi="Verdana"/>
              </w:rPr>
              <w:t>Funcionarios públicos, abogados (de particulares, empresas y Administraciones Públicas) y procuradores.</w:t>
            </w:r>
          </w:p>
          <w:p w:rsidR="00313C90" w:rsidRDefault="00313C90" w:rsidP="009D0859">
            <w:pPr>
              <w:rPr>
                <w:rFonts w:ascii="Verdana" w:hAnsi="Verdana"/>
              </w:rPr>
            </w:pPr>
          </w:p>
          <w:p w:rsidR="004D0ACD" w:rsidRDefault="004D0ACD" w:rsidP="009D0859">
            <w:pPr>
              <w:rPr>
                <w:rFonts w:ascii="Verdana" w:hAnsi="Verdana"/>
              </w:rPr>
            </w:pPr>
          </w:p>
        </w:tc>
      </w:tr>
      <w:tr w:rsidR="00313C90" w:rsidTr="009D0859">
        <w:tc>
          <w:tcPr>
            <w:tcW w:w="8494" w:type="dxa"/>
            <w:gridSpan w:val="2"/>
          </w:tcPr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Default="00313C90" w:rsidP="009D08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ADMINISTRACIONES/COLECTIVOS QUE DEBEN PARTICIPAR EN LA EJECUCIÓN: </w:t>
            </w:r>
          </w:p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Pr="009476A3" w:rsidRDefault="00313C90" w:rsidP="009D0859">
            <w:pPr>
              <w:jc w:val="both"/>
              <w:rPr>
                <w:rFonts w:ascii="Verdana" w:hAnsi="Verdana"/>
                <w:iCs/>
              </w:rPr>
            </w:pPr>
            <w:r w:rsidRPr="009476A3">
              <w:rPr>
                <w:rFonts w:ascii="Verdana" w:hAnsi="Verdana"/>
                <w:iCs/>
              </w:rPr>
              <w:t>Ministerio de Justicia</w:t>
            </w:r>
            <w:r>
              <w:rPr>
                <w:rFonts w:ascii="Verdana" w:hAnsi="Verdana"/>
                <w:iCs/>
              </w:rPr>
              <w:t xml:space="preserve"> </w:t>
            </w:r>
            <w:r w:rsidR="002F68D9">
              <w:rPr>
                <w:rFonts w:ascii="Verdana" w:hAnsi="Verdana"/>
                <w:iCs/>
              </w:rPr>
              <w:t>para el impulso de</w:t>
            </w:r>
            <w:r>
              <w:rPr>
                <w:rFonts w:ascii="Verdana" w:hAnsi="Verdana"/>
                <w:iCs/>
              </w:rPr>
              <w:t xml:space="preserve"> un Real Decreto-Ley</w:t>
            </w:r>
            <w:r w:rsidR="002F68D9">
              <w:rPr>
                <w:rFonts w:ascii="Verdana" w:hAnsi="Verdana"/>
                <w:iCs/>
              </w:rPr>
              <w:t xml:space="preserve"> y las Cortes Generales para su convalidación</w:t>
            </w:r>
            <w:r>
              <w:rPr>
                <w:rFonts w:ascii="Verdana" w:hAnsi="Verdana"/>
                <w:iCs/>
              </w:rPr>
              <w:t>.</w:t>
            </w:r>
          </w:p>
          <w:p w:rsidR="00313C90" w:rsidRDefault="00313C90" w:rsidP="009D0859">
            <w:pPr>
              <w:rPr>
                <w:rFonts w:ascii="Verdana" w:hAnsi="Verdana"/>
              </w:rPr>
            </w:pPr>
          </w:p>
        </w:tc>
      </w:tr>
      <w:tr w:rsidR="00313C90" w:rsidRPr="003B4E80" w:rsidTr="009D0859">
        <w:tc>
          <w:tcPr>
            <w:tcW w:w="8494" w:type="dxa"/>
            <w:gridSpan w:val="2"/>
          </w:tcPr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Default="00313C90" w:rsidP="009D0859">
            <w:pPr>
              <w:rPr>
                <w:rFonts w:ascii="Verdana" w:hAnsi="Verdana"/>
                <w:i/>
                <w:iCs/>
                <w:color w:val="FF0000"/>
              </w:rPr>
            </w:pPr>
            <w:r>
              <w:rPr>
                <w:rFonts w:ascii="Verdana" w:hAnsi="Verdana"/>
              </w:rPr>
              <w:t xml:space="preserve">MEDIDAS NECESARIAS PARA LA EJECUCIÓN: </w:t>
            </w:r>
          </w:p>
          <w:p w:rsidR="00313C90" w:rsidRDefault="00313C90" w:rsidP="009D0859">
            <w:pPr>
              <w:jc w:val="both"/>
              <w:rPr>
                <w:rFonts w:ascii="Verdana" w:hAnsi="Verdana"/>
              </w:rPr>
            </w:pPr>
          </w:p>
          <w:p w:rsidR="00313C90" w:rsidRDefault="00263BEF" w:rsidP="009D0859">
            <w:pPr>
              <w:jc w:val="both"/>
              <w:rPr>
                <w:rFonts w:ascii="Verdana" w:hAnsi="Verdana"/>
                <w:iCs/>
                <w:color w:val="000000" w:themeColor="text1"/>
              </w:rPr>
            </w:pPr>
            <w:r>
              <w:rPr>
                <w:rFonts w:ascii="Verdana" w:hAnsi="Verdana"/>
              </w:rPr>
              <w:t>Acción legislativa consistente en añadir</w:t>
            </w:r>
            <w:r w:rsidR="003A3FC7">
              <w:rPr>
                <w:rFonts w:ascii="Verdana" w:hAnsi="Verdana"/>
              </w:rPr>
              <w:t xml:space="preserve"> una nueva Disposición Adicional quincuagésimo sexta a la </w:t>
            </w:r>
            <w:r w:rsidR="003A3FC7">
              <w:rPr>
                <w:rFonts w:ascii="Verdana" w:hAnsi="Verdana"/>
                <w:iCs/>
                <w:color w:val="000000" w:themeColor="text1"/>
              </w:rPr>
              <w:t xml:space="preserve">Ley 9/2017, de 8 de noviembre, </w:t>
            </w:r>
            <w:r w:rsidR="00144E85">
              <w:rPr>
                <w:rFonts w:ascii="Verdana" w:hAnsi="Verdana"/>
                <w:iCs/>
                <w:color w:val="000000" w:themeColor="text1"/>
              </w:rPr>
              <w:t>de Contratos del Sector Público.</w:t>
            </w:r>
          </w:p>
          <w:p w:rsidR="00144E85" w:rsidRDefault="00144E85" w:rsidP="009D0859">
            <w:pPr>
              <w:jc w:val="both"/>
              <w:rPr>
                <w:rFonts w:ascii="Verdana" w:hAnsi="Verdana"/>
                <w:iCs/>
                <w:color w:val="000000" w:themeColor="text1"/>
              </w:rPr>
            </w:pPr>
          </w:p>
          <w:p w:rsidR="00144E85" w:rsidRDefault="00144E85" w:rsidP="009D0859">
            <w:pPr>
              <w:jc w:val="both"/>
              <w:rPr>
                <w:rFonts w:ascii="Verdana" w:hAnsi="Verdana"/>
                <w:iCs/>
                <w:color w:val="000000" w:themeColor="text1"/>
              </w:rPr>
            </w:pPr>
            <w:r w:rsidRPr="00144E85">
              <w:rPr>
                <w:rFonts w:ascii="Verdana" w:hAnsi="Verdana"/>
                <w:b/>
                <w:iCs/>
                <w:color w:val="000000" w:themeColor="text1"/>
              </w:rPr>
              <w:t>- Regulación actual</w:t>
            </w:r>
            <w:r>
              <w:rPr>
                <w:rFonts w:ascii="Verdana" w:hAnsi="Verdana"/>
                <w:iCs/>
                <w:color w:val="000000" w:themeColor="text1"/>
              </w:rPr>
              <w:t>:</w:t>
            </w:r>
          </w:p>
          <w:p w:rsidR="00144E85" w:rsidRDefault="00144E85" w:rsidP="009D0859">
            <w:pPr>
              <w:jc w:val="both"/>
              <w:rPr>
                <w:rFonts w:ascii="Verdana" w:hAnsi="Verdana"/>
                <w:iCs/>
                <w:color w:val="000000" w:themeColor="text1"/>
              </w:rPr>
            </w:pPr>
          </w:p>
          <w:p w:rsidR="00144E85" w:rsidRDefault="00144E85" w:rsidP="009D0859">
            <w:pPr>
              <w:jc w:val="both"/>
              <w:rPr>
                <w:rFonts w:ascii="Verdana" w:hAnsi="Verdana"/>
                <w:iCs/>
                <w:color w:val="000000" w:themeColor="text1"/>
              </w:rPr>
            </w:pPr>
            <w:r>
              <w:rPr>
                <w:rFonts w:ascii="Verdana" w:hAnsi="Verdana"/>
                <w:iCs/>
                <w:color w:val="000000" w:themeColor="text1"/>
              </w:rPr>
              <w:t>Inexistente (adición):</w:t>
            </w:r>
          </w:p>
          <w:p w:rsidR="00144E85" w:rsidRDefault="00144E85" w:rsidP="009D0859">
            <w:pPr>
              <w:jc w:val="both"/>
              <w:rPr>
                <w:rFonts w:ascii="Verdana" w:hAnsi="Verdana"/>
                <w:iCs/>
                <w:color w:val="000000" w:themeColor="text1"/>
              </w:rPr>
            </w:pPr>
          </w:p>
          <w:p w:rsidR="00144E85" w:rsidRDefault="00144E85" w:rsidP="009D0859">
            <w:pPr>
              <w:jc w:val="both"/>
              <w:rPr>
                <w:rFonts w:ascii="Verdana" w:hAnsi="Verdana"/>
                <w:iCs/>
                <w:color w:val="000000" w:themeColor="text1"/>
              </w:rPr>
            </w:pPr>
            <w:r w:rsidRPr="00144E85">
              <w:rPr>
                <w:rFonts w:ascii="Verdana" w:hAnsi="Verdana"/>
                <w:b/>
                <w:iCs/>
                <w:color w:val="000000" w:themeColor="text1"/>
              </w:rPr>
              <w:t>- Regulación propuesta</w:t>
            </w:r>
            <w:r>
              <w:rPr>
                <w:rFonts w:ascii="Verdana" w:hAnsi="Verdana"/>
                <w:iCs/>
                <w:color w:val="000000" w:themeColor="text1"/>
              </w:rPr>
              <w:t>:</w:t>
            </w:r>
          </w:p>
          <w:p w:rsidR="00144E85" w:rsidRDefault="00144E85" w:rsidP="009D0859">
            <w:pPr>
              <w:jc w:val="both"/>
              <w:rPr>
                <w:rFonts w:ascii="Verdana" w:hAnsi="Verdana"/>
                <w:iCs/>
                <w:color w:val="000000" w:themeColor="text1"/>
              </w:rPr>
            </w:pPr>
          </w:p>
          <w:p w:rsidR="00144E85" w:rsidRDefault="00144E85" w:rsidP="009D0859">
            <w:pPr>
              <w:jc w:val="both"/>
              <w:rPr>
                <w:rFonts w:ascii="Verdana" w:hAnsi="Verdana"/>
                <w:iCs/>
                <w:color w:val="000000" w:themeColor="text1"/>
              </w:rPr>
            </w:pPr>
            <w:r>
              <w:rPr>
                <w:rFonts w:ascii="Verdana" w:hAnsi="Verdana"/>
              </w:rPr>
              <w:t xml:space="preserve">Introducción de una nueva Disposición Adicional quincuagésimo sexta a la </w:t>
            </w:r>
            <w:r>
              <w:rPr>
                <w:rFonts w:ascii="Verdana" w:hAnsi="Verdana"/>
                <w:iCs/>
                <w:color w:val="000000" w:themeColor="text1"/>
              </w:rPr>
              <w:t>Ley 9/2017, de 8 de noviembre, de Contratos del Sector Público con el siguiente contenido:</w:t>
            </w:r>
          </w:p>
          <w:p w:rsidR="004236E4" w:rsidRDefault="004236E4" w:rsidP="009D0859">
            <w:pPr>
              <w:jc w:val="both"/>
              <w:rPr>
                <w:rFonts w:ascii="Verdana" w:hAnsi="Verdana"/>
                <w:iCs/>
                <w:color w:val="000000" w:themeColor="text1"/>
              </w:rPr>
            </w:pPr>
          </w:p>
          <w:p w:rsidR="004236E4" w:rsidRPr="00A23AB5" w:rsidRDefault="004236E4" w:rsidP="004236E4">
            <w:pPr>
              <w:jc w:val="both"/>
              <w:rPr>
                <w:rFonts w:ascii="Verdana" w:hAnsi="Verdana"/>
                <w:i/>
                <w:color w:val="FF0000"/>
                <w:lang w:val="es-ES_tradnl"/>
              </w:rPr>
            </w:pPr>
            <w:r w:rsidRPr="00A23AB5">
              <w:rPr>
                <w:rFonts w:ascii="Times New Roman" w:hAnsi="Times New Roman" w:cs="Times New Roman"/>
                <w:i/>
                <w:color w:val="FF0000"/>
                <w:lang w:val="es-ES_tradnl"/>
              </w:rPr>
              <w:t>«</w:t>
            </w:r>
            <w:r w:rsidRPr="00A23AB5">
              <w:rPr>
                <w:rFonts w:ascii="Verdana" w:hAnsi="Verdana"/>
                <w:i/>
                <w:color w:val="FF0000"/>
                <w:lang w:val="es-ES_tradnl"/>
              </w:rPr>
              <w:t xml:space="preserve">Serán objeto del recurso especial regulado en los arts. 44 y siguientes de la presente Ley las resoluciones sobre </w:t>
            </w:r>
            <w:r w:rsidR="00683E2D" w:rsidRPr="00A23AB5">
              <w:rPr>
                <w:rFonts w:ascii="Verdana" w:hAnsi="Verdana"/>
                <w:i/>
                <w:color w:val="FF0000"/>
                <w:lang w:val="es-ES_tradnl"/>
              </w:rPr>
              <w:t xml:space="preserve">solicitudes o </w:t>
            </w:r>
            <w:r w:rsidRPr="00A23AB5">
              <w:rPr>
                <w:rFonts w:ascii="Verdana" w:hAnsi="Verdana"/>
                <w:i/>
                <w:color w:val="FF0000"/>
                <w:lang w:val="es-ES_tradnl"/>
              </w:rPr>
              <w:t xml:space="preserve">reclamaciones </w:t>
            </w:r>
            <w:r w:rsidR="00683E2D" w:rsidRPr="00A23AB5">
              <w:rPr>
                <w:rFonts w:ascii="Verdana" w:hAnsi="Verdana"/>
                <w:i/>
                <w:color w:val="FF0000"/>
                <w:lang w:val="es-ES_tradnl"/>
              </w:rPr>
              <w:t>relacionadas con</w:t>
            </w:r>
            <w:r w:rsidRPr="00A23AB5">
              <w:rPr>
                <w:rFonts w:ascii="Verdana" w:hAnsi="Verdana"/>
                <w:i/>
                <w:color w:val="FF0000"/>
                <w:lang w:val="es-ES_tradnl"/>
              </w:rPr>
              <w:t xml:space="preserve"> las medidas derivadas del estado de alarma por la pandemia del COVID-19 que hayan alterado la ejecución de contratos públicos celebrados por Administraciones públicas o las restantes entidades que ostenten la condición de poderes adjudicadores, con las siguientes especialidades:</w:t>
            </w:r>
          </w:p>
          <w:p w:rsidR="004236E4" w:rsidRPr="00A23AB5" w:rsidRDefault="004236E4" w:rsidP="004236E4">
            <w:pPr>
              <w:jc w:val="both"/>
              <w:rPr>
                <w:rFonts w:ascii="Verdana" w:hAnsi="Verdana"/>
                <w:i/>
                <w:color w:val="FF0000"/>
                <w:lang w:val="es-ES_tradnl"/>
              </w:rPr>
            </w:pPr>
          </w:p>
          <w:p w:rsidR="00683E2D" w:rsidRPr="00A23AB5" w:rsidRDefault="004236E4" w:rsidP="004236E4">
            <w:pPr>
              <w:jc w:val="both"/>
              <w:rPr>
                <w:rFonts w:ascii="Verdana" w:hAnsi="Verdana"/>
                <w:i/>
                <w:color w:val="FF0000"/>
                <w:lang w:val="es-ES_tradnl"/>
              </w:rPr>
            </w:pPr>
            <w:r w:rsidRPr="00A23AB5">
              <w:rPr>
                <w:rFonts w:ascii="Verdana" w:hAnsi="Verdana"/>
                <w:i/>
                <w:color w:val="FF0000"/>
                <w:lang w:val="es-ES_tradnl"/>
              </w:rPr>
              <w:t xml:space="preserve">a) </w:t>
            </w:r>
            <w:r w:rsidR="00683E2D" w:rsidRPr="00A23AB5">
              <w:rPr>
                <w:rFonts w:ascii="Verdana" w:hAnsi="Verdana"/>
                <w:i/>
                <w:color w:val="FF0000"/>
                <w:lang w:val="es-ES_tradnl"/>
              </w:rPr>
              <w:t>El recurso procederá, cualquiera que sea el importe del contrato o de la solicitud o reclamación, contra resoluciones sobre solicitud de suspensión, prórroga o ampliación del plazo contractual, reclamación de indemnizaciones, reequilibrio económico o cualesquiera otras cuestiones relativas a la ejecución del contrato que se susciten con ocasión de las medidas derivadas del estado de alarma por la pandemia del COVID-19</w:t>
            </w:r>
            <w:r w:rsidR="00FB1B6B" w:rsidRPr="00A23AB5">
              <w:rPr>
                <w:rFonts w:ascii="Verdana" w:hAnsi="Verdana"/>
                <w:i/>
                <w:color w:val="FF0000"/>
                <w:lang w:val="es-ES_tradnl"/>
              </w:rPr>
              <w:t xml:space="preserve"> o de las situaciones de hecho causadas por ésta</w:t>
            </w:r>
            <w:r w:rsidR="00683E2D" w:rsidRPr="00A23AB5">
              <w:rPr>
                <w:rFonts w:ascii="Verdana" w:hAnsi="Verdana"/>
                <w:i/>
                <w:color w:val="FF0000"/>
                <w:lang w:val="es-ES_tradnl"/>
              </w:rPr>
              <w:t>.</w:t>
            </w:r>
          </w:p>
          <w:p w:rsidR="00683E2D" w:rsidRPr="00A23AB5" w:rsidRDefault="00683E2D" w:rsidP="004236E4">
            <w:pPr>
              <w:jc w:val="both"/>
              <w:rPr>
                <w:rFonts w:ascii="Verdana" w:hAnsi="Verdana"/>
                <w:i/>
                <w:color w:val="FF0000"/>
                <w:lang w:val="es-ES_tradnl"/>
              </w:rPr>
            </w:pPr>
          </w:p>
          <w:p w:rsidR="004236E4" w:rsidRPr="00A23AB5" w:rsidRDefault="00683E2D" w:rsidP="004236E4">
            <w:pPr>
              <w:jc w:val="both"/>
              <w:rPr>
                <w:rFonts w:ascii="Verdana" w:hAnsi="Verdana"/>
                <w:i/>
                <w:color w:val="FF0000"/>
                <w:lang w:val="es-ES_tradnl"/>
              </w:rPr>
            </w:pPr>
            <w:r w:rsidRPr="00A23AB5">
              <w:rPr>
                <w:rFonts w:ascii="Verdana" w:hAnsi="Verdana"/>
                <w:i/>
                <w:color w:val="FF0000"/>
                <w:lang w:val="es-ES_tradnl"/>
              </w:rPr>
              <w:t xml:space="preserve">b) </w:t>
            </w:r>
            <w:r w:rsidR="004236E4" w:rsidRPr="00A23AB5">
              <w:rPr>
                <w:rFonts w:ascii="Verdana" w:hAnsi="Verdana"/>
                <w:i/>
                <w:color w:val="FF0000"/>
                <w:lang w:val="es-ES_tradnl"/>
              </w:rPr>
              <w:t xml:space="preserve">El recurso tendrá carácter preceptivo y </w:t>
            </w:r>
            <w:proofErr w:type="spellStart"/>
            <w:r w:rsidR="004236E4" w:rsidRPr="00A23AB5">
              <w:rPr>
                <w:rFonts w:ascii="Verdana" w:hAnsi="Verdana"/>
                <w:i/>
                <w:color w:val="FF0000"/>
                <w:lang w:val="es-ES_tradnl"/>
              </w:rPr>
              <w:t>preclusivo</w:t>
            </w:r>
            <w:proofErr w:type="spellEnd"/>
            <w:r w:rsidR="004236E4" w:rsidRPr="00A23AB5">
              <w:rPr>
                <w:rFonts w:ascii="Verdana" w:hAnsi="Verdana"/>
                <w:i/>
                <w:color w:val="FF0000"/>
                <w:lang w:val="es-ES_tradnl"/>
              </w:rPr>
              <w:t>.</w:t>
            </w:r>
          </w:p>
          <w:p w:rsidR="004236E4" w:rsidRPr="00A23AB5" w:rsidRDefault="004236E4" w:rsidP="004236E4">
            <w:pPr>
              <w:jc w:val="both"/>
              <w:rPr>
                <w:rFonts w:ascii="Verdana" w:hAnsi="Verdana"/>
                <w:i/>
                <w:color w:val="FF0000"/>
                <w:lang w:val="es-ES_tradnl"/>
              </w:rPr>
            </w:pPr>
          </w:p>
          <w:p w:rsidR="004236E4" w:rsidRPr="00A23AB5" w:rsidRDefault="00683E2D" w:rsidP="004236E4">
            <w:pPr>
              <w:jc w:val="both"/>
              <w:rPr>
                <w:rFonts w:ascii="Verdana" w:hAnsi="Verdana"/>
                <w:i/>
                <w:color w:val="FF0000"/>
                <w:lang w:val="es-ES_tradnl"/>
              </w:rPr>
            </w:pPr>
            <w:r w:rsidRPr="00A23AB5">
              <w:rPr>
                <w:rFonts w:ascii="Verdana" w:hAnsi="Verdana"/>
                <w:i/>
                <w:color w:val="FF0000"/>
                <w:lang w:val="es-ES_tradnl"/>
              </w:rPr>
              <w:t>c</w:t>
            </w:r>
            <w:r w:rsidR="004236E4" w:rsidRPr="00A23AB5">
              <w:rPr>
                <w:rFonts w:ascii="Verdana" w:hAnsi="Verdana"/>
                <w:i/>
                <w:color w:val="FF0000"/>
                <w:lang w:val="es-ES_tradnl"/>
              </w:rPr>
              <w:t>) El plazo para la interposición del recurso será de un mes desde la notificación de la actuación impugnada.</w:t>
            </w:r>
          </w:p>
          <w:p w:rsidR="004236E4" w:rsidRPr="00A23AB5" w:rsidRDefault="004236E4" w:rsidP="004236E4">
            <w:pPr>
              <w:jc w:val="both"/>
              <w:rPr>
                <w:rFonts w:ascii="Verdana" w:hAnsi="Verdana"/>
                <w:i/>
                <w:color w:val="FF0000"/>
                <w:lang w:val="es-ES_tradnl"/>
              </w:rPr>
            </w:pPr>
          </w:p>
          <w:p w:rsidR="004236E4" w:rsidRPr="00A23AB5" w:rsidRDefault="00683E2D" w:rsidP="004236E4">
            <w:pPr>
              <w:jc w:val="both"/>
              <w:rPr>
                <w:rFonts w:ascii="Verdana" w:hAnsi="Verdana"/>
                <w:color w:val="FF0000"/>
                <w:lang w:val="es-ES_tradnl"/>
              </w:rPr>
            </w:pPr>
            <w:r w:rsidRPr="00A23AB5">
              <w:rPr>
                <w:rFonts w:ascii="Verdana" w:hAnsi="Verdana"/>
                <w:i/>
                <w:color w:val="FF0000"/>
                <w:lang w:val="es-ES_tradnl"/>
              </w:rPr>
              <w:t>d</w:t>
            </w:r>
            <w:r w:rsidR="004236E4" w:rsidRPr="00A23AB5">
              <w:rPr>
                <w:rFonts w:ascii="Verdana" w:hAnsi="Verdana"/>
                <w:i/>
                <w:color w:val="FF0000"/>
                <w:lang w:val="es-ES_tradnl"/>
              </w:rPr>
              <w:t>) La resolución que se adopte será ejecutiva y ejecutoria en sus propios términos desde su notificación a los interesados</w:t>
            </w:r>
            <w:r w:rsidR="004236E4" w:rsidRPr="00A23AB5">
              <w:rPr>
                <w:rFonts w:ascii="Verdana" w:hAnsi="Verdana"/>
                <w:color w:val="FF0000"/>
                <w:lang w:val="es-ES_tradnl"/>
              </w:rPr>
              <w:t xml:space="preserve">. </w:t>
            </w:r>
          </w:p>
          <w:p w:rsidR="004236E4" w:rsidRPr="00A23AB5" w:rsidRDefault="004236E4" w:rsidP="004236E4">
            <w:pPr>
              <w:jc w:val="both"/>
              <w:rPr>
                <w:rFonts w:ascii="Verdana" w:hAnsi="Verdana"/>
                <w:i/>
                <w:strike/>
                <w:color w:val="FF0000"/>
                <w:lang w:val="es-ES_tradnl"/>
              </w:rPr>
            </w:pPr>
          </w:p>
          <w:p w:rsidR="004236E4" w:rsidRPr="00A23AB5" w:rsidRDefault="00683E2D" w:rsidP="004236E4">
            <w:pPr>
              <w:jc w:val="both"/>
              <w:rPr>
                <w:rFonts w:ascii="Verdana" w:hAnsi="Verdana"/>
                <w:color w:val="FF0000"/>
                <w:lang w:val="es-ES_tradnl"/>
              </w:rPr>
            </w:pPr>
            <w:r w:rsidRPr="00A23AB5">
              <w:rPr>
                <w:rFonts w:ascii="Verdana" w:hAnsi="Verdana"/>
                <w:i/>
                <w:color w:val="FF0000"/>
                <w:lang w:val="es-ES_tradnl"/>
              </w:rPr>
              <w:t>e</w:t>
            </w:r>
            <w:r w:rsidR="004236E4" w:rsidRPr="00A23AB5">
              <w:rPr>
                <w:rFonts w:ascii="Verdana" w:hAnsi="Verdana"/>
                <w:i/>
                <w:color w:val="FF0000"/>
                <w:lang w:val="es-ES_tradnl"/>
              </w:rPr>
              <w:t xml:space="preserve">) La competencia para conocer del eventual recurso contencioso-administrativo posterior corresponderá al Juez o Tribunal que sería competente en atención a la Administración y órgano autor del acto </w:t>
            </w:r>
            <w:r w:rsidR="0038159C" w:rsidRPr="00A23AB5">
              <w:rPr>
                <w:rFonts w:ascii="Verdana" w:hAnsi="Verdana"/>
                <w:i/>
                <w:color w:val="FF0000"/>
                <w:lang w:val="es-ES_tradnl"/>
              </w:rPr>
              <w:t xml:space="preserve">inicialmente </w:t>
            </w:r>
            <w:r w:rsidR="004236E4" w:rsidRPr="00A23AB5">
              <w:rPr>
                <w:rFonts w:ascii="Verdana" w:hAnsi="Verdana"/>
                <w:i/>
                <w:color w:val="FF0000"/>
                <w:lang w:val="es-ES_tradnl"/>
              </w:rPr>
              <w:t>impugnado</w:t>
            </w:r>
            <w:r w:rsidR="00FB1B6B" w:rsidRPr="00A23AB5">
              <w:rPr>
                <w:rFonts w:ascii="Verdana" w:hAnsi="Verdana"/>
                <w:i/>
                <w:color w:val="FF0000"/>
                <w:lang w:val="es-ES_tradnl"/>
              </w:rPr>
              <w:t xml:space="preserve"> y, en su defecto, a los Juzgados de lo </w:t>
            </w:r>
            <w:r w:rsidR="00FB1B6B" w:rsidRPr="00A23AB5">
              <w:rPr>
                <w:rFonts w:ascii="Verdana" w:hAnsi="Verdana"/>
                <w:i/>
                <w:color w:val="FF0000"/>
                <w:lang w:val="es-ES_tradnl"/>
              </w:rPr>
              <w:lastRenderedPageBreak/>
              <w:t>Contencioso-administrativo</w:t>
            </w:r>
            <w:r w:rsidR="004236E4" w:rsidRPr="00A23AB5">
              <w:rPr>
                <w:rFonts w:ascii="Times New Roman" w:hAnsi="Times New Roman" w:cs="Times New Roman"/>
                <w:color w:val="FF0000"/>
                <w:lang w:val="es-ES_tradnl"/>
              </w:rPr>
              <w:t>»</w:t>
            </w:r>
            <w:r w:rsidR="004236E4" w:rsidRPr="00A23AB5">
              <w:rPr>
                <w:rFonts w:ascii="Verdana" w:hAnsi="Verdana"/>
                <w:color w:val="FF0000"/>
                <w:lang w:val="es-ES_tradnl"/>
              </w:rPr>
              <w:t>.</w:t>
            </w:r>
          </w:p>
          <w:p w:rsidR="004236E4" w:rsidRDefault="004236E4" w:rsidP="009D0859">
            <w:pPr>
              <w:jc w:val="both"/>
              <w:rPr>
                <w:rFonts w:ascii="Verdana" w:hAnsi="Verdana"/>
              </w:rPr>
            </w:pPr>
          </w:p>
          <w:p w:rsidR="00313C90" w:rsidRDefault="002223D4" w:rsidP="004236E4">
            <w:pPr>
              <w:jc w:val="both"/>
              <w:rPr>
                <w:rFonts w:ascii="Verdana" w:hAnsi="Verdana"/>
                <w:lang w:val="es-ES_tradnl"/>
              </w:rPr>
            </w:pPr>
            <w:r>
              <w:rPr>
                <w:rFonts w:ascii="Verdana" w:hAnsi="Verdana"/>
                <w:lang w:val="es-ES_tradnl"/>
              </w:rPr>
              <w:t>No requiere la realización de actividades formativas.</w:t>
            </w:r>
          </w:p>
          <w:p w:rsidR="002223D4" w:rsidRPr="003B4E80" w:rsidRDefault="002223D4" w:rsidP="004236E4">
            <w:pPr>
              <w:jc w:val="both"/>
              <w:rPr>
                <w:rFonts w:ascii="Verdana" w:hAnsi="Verdana"/>
                <w:lang w:val="es-ES_tradnl"/>
              </w:rPr>
            </w:pPr>
          </w:p>
        </w:tc>
      </w:tr>
      <w:tr w:rsidR="00313C90" w:rsidTr="009D0859">
        <w:tc>
          <w:tcPr>
            <w:tcW w:w="8494" w:type="dxa"/>
            <w:gridSpan w:val="2"/>
          </w:tcPr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Default="00313C90" w:rsidP="009D08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ANÁLISIS DE IMPACTO SOBRE LA SITUACIÓN EXISTENTE: </w:t>
            </w:r>
          </w:p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Default="00313C90" w:rsidP="009D085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Permite evitar un atasco en la jurisdicción en tanto puede descongestionar y racionalizar la entrada de asuntos en los tribunales, máxime en una materia tan sensible. </w:t>
            </w:r>
          </w:p>
          <w:p w:rsidR="00313C90" w:rsidRDefault="00313C90" w:rsidP="009D0859">
            <w:pPr>
              <w:jc w:val="both"/>
              <w:rPr>
                <w:rFonts w:ascii="Verdana" w:hAnsi="Verdana"/>
              </w:rPr>
            </w:pPr>
          </w:p>
          <w:p w:rsidR="00313C90" w:rsidRDefault="00313C90" w:rsidP="009D0859">
            <w:pPr>
              <w:jc w:val="both"/>
              <w:rPr>
                <w:rFonts w:ascii="Verdana" w:hAnsi="Verdana"/>
                <w:lang w:val="es-ES_tradnl"/>
              </w:rPr>
            </w:pPr>
            <w:r w:rsidRPr="004C468E">
              <w:rPr>
                <w:rFonts w:ascii="Verdana" w:hAnsi="Verdana"/>
                <w:lang w:val="es-ES_tradnl"/>
              </w:rPr>
              <w:t>Las principales ventajas serían</w:t>
            </w:r>
            <w:r>
              <w:rPr>
                <w:rFonts w:ascii="Verdana" w:hAnsi="Verdana"/>
                <w:lang w:val="es-ES_tradnl"/>
              </w:rPr>
              <w:t xml:space="preserve"> las propias del actual recurso especial, en un tema muy técnico que puede ayudar a la seguridad jurídica.</w:t>
            </w:r>
          </w:p>
          <w:p w:rsidR="00313C90" w:rsidRPr="004C468E" w:rsidRDefault="00313C90" w:rsidP="009D0859">
            <w:pPr>
              <w:jc w:val="both"/>
              <w:rPr>
                <w:rFonts w:ascii="Verdana" w:hAnsi="Verdana"/>
              </w:rPr>
            </w:pPr>
          </w:p>
          <w:p w:rsidR="00313C90" w:rsidRDefault="00313C90" w:rsidP="009D0859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 se sustituye en ningún caso al Juez, pues habrá control de las decisiones ante TSJ.</w:t>
            </w:r>
          </w:p>
          <w:p w:rsidR="00313C90" w:rsidRDefault="00313C90" w:rsidP="009D0859">
            <w:pPr>
              <w:rPr>
                <w:rFonts w:ascii="Verdana" w:hAnsi="Verdana"/>
              </w:rPr>
            </w:pPr>
          </w:p>
        </w:tc>
      </w:tr>
      <w:tr w:rsidR="00313C90" w:rsidTr="009D0859">
        <w:tc>
          <w:tcPr>
            <w:tcW w:w="8494" w:type="dxa"/>
            <w:gridSpan w:val="2"/>
          </w:tcPr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Default="00313C90" w:rsidP="009D08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ANÁLISIS DE IMPACTO PREVISIBLE SOBRE LA SITUACIÓN FUTURA:</w:t>
            </w:r>
          </w:p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Default="00313C90" w:rsidP="009D08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 es posible determinar el número de asuntos que permitirá aliviar esta medida pero cabe anticipar que serán muy numerosos.</w:t>
            </w:r>
          </w:p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Pr="001D7D5D" w:rsidRDefault="00313C90" w:rsidP="009D0859">
            <w:pPr>
              <w:jc w:val="both"/>
              <w:rPr>
                <w:rFonts w:ascii="Verdana" w:hAnsi="Verdana"/>
              </w:rPr>
            </w:pPr>
            <w:r w:rsidRPr="001D7D5D">
              <w:rPr>
                <w:rFonts w:ascii="Verdana" w:hAnsi="Verdana"/>
              </w:rPr>
              <w:t xml:space="preserve">En cualquier caso, </w:t>
            </w:r>
            <w:r>
              <w:rPr>
                <w:rFonts w:ascii="Verdana" w:hAnsi="Verdana"/>
              </w:rPr>
              <w:t>puede indicarse que</w:t>
            </w:r>
            <w:r w:rsidRPr="001D7D5D">
              <w:rPr>
                <w:rFonts w:ascii="Verdana" w:hAnsi="Verdana"/>
              </w:rPr>
              <w:t>, según los datos de la estadística judicial, durante el año 2019 fueron interpuestos 5.027 recursos en materia de contratación administrativa (3.769 en los Juzgados de lo Contencioso-administrativo, 39 en la Sala de lo Contencioso-administrativo de la Audiencia Nacional y 1.219 en las Salas de lo Contencioso-administrativo de los Tribunales Superiores de Justicia)</w:t>
            </w:r>
            <w:r>
              <w:rPr>
                <w:rFonts w:ascii="Verdana" w:hAnsi="Verdana"/>
              </w:rPr>
              <w:t>, aunque por las razones indicadas es más que previsible que esa cifra se multiplique varias veces como consecuencia de las medidas adoptadas para hacer frente al COVID-19</w:t>
            </w:r>
            <w:r w:rsidRPr="001D7D5D">
              <w:rPr>
                <w:rFonts w:ascii="Verdana" w:hAnsi="Verdana"/>
              </w:rPr>
              <w:t>.</w:t>
            </w:r>
          </w:p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Default="00313C90" w:rsidP="009D0859">
            <w:pPr>
              <w:rPr>
                <w:rFonts w:ascii="Verdana" w:hAnsi="Verdana"/>
              </w:rPr>
            </w:pPr>
          </w:p>
        </w:tc>
      </w:tr>
      <w:tr w:rsidR="00313C90" w:rsidRPr="001D7D5D" w:rsidTr="009D0859">
        <w:tc>
          <w:tcPr>
            <w:tcW w:w="8494" w:type="dxa"/>
            <w:gridSpan w:val="2"/>
          </w:tcPr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Default="00313C90" w:rsidP="009D08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DURACIÓN DE LA MEDIDA TEMPORAL. </w:t>
            </w:r>
          </w:p>
          <w:p w:rsidR="00313C90" w:rsidRDefault="00313C90" w:rsidP="009D0859">
            <w:pPr>
              <w:jc w:val="both"/>
              <w:rPr>
                <w:rFonts w:ascii="Verdana" w:hAnsi="Verdana"/>
              </w:rPr>
            </w:pPr>
            <w:r w:rsidRPr="004E3DC2">
              <w:rPr>
                <w:rFonts w:ascii="Verdana" w:hAnsi="Verdana"/>
                <w:iCs/>
              </w:rPr>
              <w:t>La medida implica una modificación legislativa con vocación</w:t>
            </w:r>
            <w:r>
              <w:rPr>
                <w:rFonts w:ascii="Verdana" w:hAnsi="Verdana"/>
              </w:rPr>
              <w:t xml:space="preserve"> transitoria pero como hay contratos de larga duración puede tener una vigencia amplia.</w:t>
            </w:r>
          </w:p>
          <w:p w:rsidR="0005114B" w:rsidRPr="001D7D5D" w:rsidRDefault="0005114B" w:rsidP="009D0859">
            <w:pPr>
              <w:jc w:val="both"/>
              <w:rPr>
                <w:rFonts w:ascii="Verdana" w:hAnsi="Verdana"/>
                <w:i/>
                <w:iCs/>
                <w:color w:val="FF0000"/>
              </w:rPr>
            </w:pPr>
          </w:p>
        </w:tc>
      </w:tr>
      <w:tr w:rsidR="00313C90" w:rsidRPr="00D64547" w:rsidTr="009D0859">
        <w:tc>
          <w:tcPr>
            <w:tcW w:w="8494" w:type="dxa"/>
            <w:gridSpan w:val="2"/>
          </w:tcPr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Default="00313C90" w:rsidP="009D0859">
            <w:pPr>
              <w:rPr>
                <w:rFonts w:ascii="Verdana" w:hAnsi="Verdana"/>
                <w:i/>
                <w:iCs/>
                <w:color w:val="000000" w:themeColor="text1"/>
              </w:rPr>
            </w:pPr>
            <w:r>
              <w:rPr>
                <w:rFonts w:ascii="Verdana" w:hAnsi="Verdana"/>
              </w:rPr>
              <w:t xml:space="preserve">NIVEL DE PRIORIDAD/URGENCIA: </w:t>
            </w:r>
          </w:p>
          <w:p w:rsidR="00313C90" w:rsidRDefault="00313C90" w:rsidP="009D0859">
            <w:pPr>
              <w:rPr>
                <w:rFonts w:ascii="Verdana" w:hAnsi="Verdana"/>
                <w:i/>
                <w:iCs/>
                <w:color w:val="000000" w:themeColor="text1"/>
              </w:rPr>
            </w:pPr>
          </w:p>
          <w:p w:rsidR="00313C90" w:rsidRDefault="00313C90" w:rsidP="009D0859">
            <w:pPr>
              <w:rPr>
                <w:rFonts w:ascii="Verdana" w:hAnsi="Verdana"/>
                <w:iCs/>
                <w:color w:val="000000" w:themeColor="text1"/>
              </w:rPr>
            </w:pPr>
            <w:r>
              <w:rPr>
                <w:rFonts w:ascii="Verdana" w:hAnsi="Verdana"/>
                <w:iCs/>
                <w:color w:val="000000" w:themeColor="text1"/>
              </w:rPr>
              <w:t>Alta</w:t>
            </w:r>
          </w:p>
          <w:p w:rsidR="00313C90" w:rsidRPr="00D64547" w:rsidRDefault="00313C90" w:rsidP="009D0859">
            <w:pPr>
              <w:rPr>
                <w:rFonts w:ascii="Verdana" w:hAnsi="Verdana"/>
                <w:i/>
                <w:iCs/>
                <w:color w:val="FF0000"/>
              </w:rPr>
            </w:pPr>
          </w:p>
        </w:tc>
      </w:tr>
      <w:tr w:rsidR="00313C90" w:rsidRPr="00D64547" w:rsidTr="009D0859">
        <w:tc>
          <w:tcPr>
            <w:tcW w:w="8494" w:type="dxa"/>
            <w:gridSpan w:val="2"/>
          </w:tcPr>
          <w:p w:rsidR="00313C90" w:rsidRDefault="00313C90" w:rsidP="009D0859">
            <w:pPr>
              <w:rPr>
                <w:rFonts w:ascii="Verdana" w:hAnsi="Verdana"/>
              </w:rPr>
            </w:pPr>
          </w:p>
          <w:p w:rsidR="00313C90" w:rsidRDefault="00EA6FF5" w:rsidP="009D085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ANEXO</w:t>
            </w:r>
            <w:r w:rsidR="00313C90">
              <w:rPr>
                <w:rFonts w:ascii="Verdana" w:hAnsi="Verdana"/>
              </w:rPr>
              <w:t>:</w:t>
            </w:r>
          </w:p>
          <w:p w:rsidR="00313C90" w:rsidRDefault="00313C90" w:rsidP="009D0859">
            <w:pPr>
              <w:jc w:val="both"/>
              <w:rPr>
                <w:rFonts w:ascii="Verdana" w:hAnsi="Verdana"/>
              </w:rPr>
            </w:pPr>
          </w:p>
          <w:p w:rsidR="00313C90" w:rsidRDefault="00313C90" w:rsidP="009D0859">
            <w:pPr>
              <w:jc w:val="both"/>
              <w:rPr>
                <w:rFonts w:ascii="Verdana" w:hAnsi="Verdana"/>
              </w:rPr>
            </w:pPr>
          </w:p>
          <w:p w:rsidR="00313C90" w:rsidRPr="00D64547" w:rsidRDefault="00313C90" w:rsidP="009D0859">
            <w:pPr>
              <w:rPr>
                <w:rFonts w:ascii="Verdana" w:hAnsi="Verdana"/>
              </w:rPr>
            </w:pPr>
          </w:p>
        </w:tc>
      </w:tr>
    </w:tbl>
    <w:p w:rsidR="002E578F" w:rsidRDefault="002E578F"/>
    <w:sectPr w:rsidR="002E57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90"/>
    <w:rsid w:val="0005114B"/>
    <w:rsid w:val="000C6262"/>
    <w:rsid w:val="00144E85"/>
    <w:rsid w:val="001C79F3"/>
    <w:rsid w:val="0021691C"/>
    <w:rsid w:val="002223D4"/>
    <w:rsid w:val="00263BEF"/>
    <w:rsid w:val="002E578F"/>
    <w:rsid w:val="002F68D9"/>
    <w:rsid w:val="00313C90"/>
    <w:rsid w:val="0038159C"/>
    <w:rsid w:val="003A3FC7"/>
    <w:rsid w:val="004236E4"/>
    <w:rsid w:val="004D0ACD"/>
    <w:rsid w:val="00546217"/>
    <w:rsid w:val="005505F8"/>
    <w:rsid w:val="00683E2D"/>
    <w:rsid w:val="009F6C31"/>
    <w:rsid w:val="00A23AB5"/>
    <w:rsid w:val="00D63A14"/>
    <w:rsid w:val="00E20E1A"/>
    <w:rsid w:val="00EA6FF5"/>
    <w:rsid w:val="00F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79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C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C7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Rosario Moreno-Cervera Ramírez</dc:creator>
  <cp:lastModifiedBy>Susana Crisostomo Sanz</cp:lastModifiedBy>
  <cp:revision>2</cp:revision>
  <dcterms:created xsi:type="dcterms:W3CDTF">2020-04-19T08:32:00Z</dcterms:created>
  <dcterms:modified xsi:type="dcterms:W3CDTF">2020-04-19T08:32:00Z</dcterms:modified>
</cp:coreProperties>
</file>